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203C" w14:textId="77777777" w:rsidR="00AD1608" w:rsidRDefault="00AD1608" w:rsidP="00CF1133">
      <w:pPr>
        <w:ind w:left="-710" w:firstLine="695"/>
        <w:rPr>
          <w:b/>
          <w:bCs/>
        </w:rPr>
      </w:pPr>
      <w:bookmarkStart w:id="0" w:name="_GoBack"/>
      <w:bookmarkEnd w:id="0"/>
    </w:p>
    <w:p w14:paraId="1B717E2D" w14:textId="056545C4" w:rsidR="00CF1133" w:rsidRDefault="00FB0EAB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6C02454F" w14:textId="77777777" w:rsidR="00CF1133" w:rsidRPr="00BC4466" w:rsidRDefault="00FB0EAB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2E29D40C" w14:textId="77777777" w:rsidR="00BC4466" w:rsidRPr="00BC4466" w:rsidRDefault="00FB0EAB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15B89D04" w14:textId="77777777" w:rsidR="00BC4466" w:rsidRDefault="008B64FC" w:rsidP="00CF1133">
      <w:pPr>
        <w:spacing w:after="0" w:line="256" w:lineRule="auto"/>
        <w:ind w:left="0" w:firstLine="0"/>
      </w:pPr>
    </w:p>
    <w:p w14:paraId="666C4EF5" w14:textId="77777777" w:rsidR="00A3358A" w:rsidRDefault="00FB0EAB" w:rsidP="00A3358A">
      <w:r w:rsidRPr="005D0C06">
        <w:rPr>
          <w:b/>
        </w:rPr>
        <w:t>Date:</w:t>
      </w:r>
      <w:r>
        <w:t xml:space="preserve"> </w:t>
      </w:r>
      <w:r w:rsidR="00881687">
        <w:fldChar w:fldCharType="begin"/>
      </w:r>
      <w:r w:rsidR="00881687">
        <w:instrText xml:space="preserve"> DOCPROPERTY  MeetingDate  \* MERGEFORMAT </w:instrText>
      </w:r>
      <w:r w:rsidR="00881687">
        <w:fldChar w:fldCharType="separate"/>
      </w:r>
      <w:r>
        <w:t>Friday, 15th September 2020</w:t>
      </w:r>
      <w:r w:rsidR="00881687">
        <w:fldChar w:fldCharType="end"/>
      </w:r>
    </w:p>
    <w:p w14:paraId="641E0929" w14:textId="77777777" w:rsidR="00A3358A" w:rsidRDefault="008B64FC" w:rsidP="00A3358A"/>
    <w:p w14:paraId="6F5242E8" w14:textId="77777777" w:rsidR="00A3358A" w:rsidRDefault="00FB0EAB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Board Financial Update - September 2020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41DDB664" w14:textId="28E43F19" w:rsidR="00D7480F" w:rsidRDefault="00FB0EAB" w:rsidP="00CF1133">
      <w:pPr>
        <w:spacing w:after="0" w:line="256" w:lineRule="auto"/>
        <w:ind w:left="0" w:firstLine="0"/>
      </w:pPr>
      <w:r>
        <w:t>(</w:t>
      </w:r>
      <w:r w:rsidR="002E1CC6">
        <w:t>Appendix 'A' refers)</w:t>
      </w:r>
    </w:p>
    <w:p w14:paraId="71AAFAC2" w14:textId="77777777" w:rsidR="00FB0EAB" w:rsidRDefault="00FB0EAB" w:rsidP="00CF1133">
      <w:pPr>
        <w:spacing w:after="0" w:line="256" w:lineRule="auto"/>
        <w:ind w:left="0" w:firstLine="0"/>
      </w:pPr>
    </w:p>
    <w:p w14:paraId="4762DBEA" w14:textId="77777777" w:rsidR="00F41096" w:rsidRPr="00F41096" w:rsidRDefault="00FB0EAB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Sarah Kemp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531885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14:paraId="369B682A" w14:textId="77777777" w:rsidR="00F41096" w:rsidRPr="00F41096" w:rsidRDefault="00FB0EAB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Sarah.Kemp@lancashirelep.co.uk</w:t>
      </w:r>
      <w:r>
        <w:rPr>
          <w:b/>
        </w:rPr>
        <w:fldChar w:fldCharType="end"/>
      </w:r>
    </w:p>
    <w:p w14:paraId="02F7EA07" w14:textId="77777777" w:rsidR="00F95C8B" w:rsidRPr="00FB0EAB" w:rsidRDefault="00FB0EAB" w:rsidP="00FB0EAB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61B8B" w14:paraId="73B73C0E" w14:textId="77777777" w:rsidTr="00841251">
        <w:tc>
          <w:tcPr>
            <w:tcW w:w="9180" w:type="dxa"/>
          </w:tcPr>
          <w:p w14:paraId="7BD9CF0E" w14:textId="77777777" w:rsidR="00F95C8B" w:rsidRDefault="008B64FC" w:rsidP="00841251">
            <w:pPr>
              <w:pStyle w:val="Header"/>
            </w:pPr>
          </w:p>
          <w:p w14:paraId="6DE934FC" w14:textId="77777777" w:rsidR="00F95C8B" w:rsidRPr="00F95C8B" w:rsidRDefault="00FB0EAB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14:paraId="26A2A3DB" w14:textId="77777777" w:rsidR="00F95C8B" w:rsidRPr="00F95C8B" w:rsidRDefault="008B64FC" w:rsidP="00841251">
            <w:pPr>
              <w:rPr>
                <w:color w:val="auto"/>
              </w:rPr>
            </w:pPr>
          </w:p>
          <w:p w14:paraId="4874C939" w14:textId="77777777" w:rsidR="00FB0EAB" w:rsidRDefault="00FB0EAB" w:rsidP="00FB0EAB">
            <w:pPr>
              <w:ind w:left="22" w:hanging="22"/>
              <w:rPr>
                <w:color w:val="auto"/>
              </w:rPr>
            </w:pPr>
            <w:r>
              <w:rPr>
                <w:color w:val="auto"/>
              </w:rPr>
              <w:t>This report presents the Lancashire Enterprise Partnership Board with an update on LEP finances since the last Board meeting held in June 2020.</w:t>
            </w:r>
          </w:p>
          <w:p w14:paraId="4358602E" w14:textId="77777777" w:rsidR="00F95C8B" w:rsidRPr="00F95C8B" w:rsidRDefault="00FB0EAB" w:rsidP="00FB0EAB">
            <w:pPr>
              <w:ind w:left="22" w:hanging="22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306EA1B3" w14:textId="77777777" w:rsidR="00F95C8B" w:rsidRDefault="00FB0EAB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14:paraId="1F3E1377" w14:textId="77777777" w:rsidR="00FB0EAB" w:rsidRPr="00FB0EAB" w:rsidRDefault="00FB0EAB" w:rsidP="00FB0EAB"/>
          <w:p w14:paraId="2B7D81FE" w14:textId="77777777" w:rsidR="00F95C8B" w:rsidRDefault="00FB0EAB" w:rsidP="00841251">
            <w:pPr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3A2D09">
              <w:rPr>
                <w:color w:val="auto"/>
              </w:rPr>
              <w:t>Lancashire</w:t>
            </w:r>
            <w:r>
              <w:rPr>
                <w:color w:val="auto"/>
              </w:rPr>
              <w:t xml:space="preserve"> Enterprise Partnership Board is asked to note:</w:t>
            </w:r>
          </w:p>
          <w:p w14:paraId="08F0A4E0" w14:textId="77777777" w:rsidR="00FB0EAB" w:rsidRPr="00F95C8B" w:rsidRDefault="00FB0EAB" w:rsidP="00841251">
            <w:pPr>
              <w:rPr>
                <w:color w:val="auto"/>
              </w:rPr>
            </w:pPr>
          </w:p>
          <w:p w14:paraId="12F1D050" w14:textId="77777777" w:rsidR="003A2D09" w:rsidRDefault="003A2D09" w:rsidP="003A2D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August position on income and expenditure of the LEP's Operating Budget and changes to forecast and actuals.</w:t>
            </w:r>
          </w:p>
          <w:p w14:paraId="61D1439C" w14:textId="77777777" w:rsidR="003A2D09" w:rsidRDefault="003A2D09" w:rsidP="003A2D09">
            <w:pPr>
              <w:pStyle w:val="ListParagraph"/>
              <w:spacing w:after="160" w:line="259" w:lineRule="auto"/>
              <w:ind w:left="1080" w:firstLine="0"/>
              <w:jc w:val="both"/>
            </w:pPr>
          </w:p>
          <w:p w14:paraId="341B9A81" w14:textId="77777777" w:rsidR="003A2D09" w:rsidRDefault="003A2D09" w:rsidP="003A2D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 xml:space="preserve">An end of year forecast of an in year deficit of £1,686,666 based on the use of retained reserves to fund delivery of the agreed budget. </w:t>
            </w:r>
          </w:p>
          <w:p w14:paraId="220310BF" w14:textId="77777777" w:rsidR="003A2D09" w:rsidRDefault="003A2D09" w:rsidP="003A2D09">
            <w:pPr>
              <w:pStyle w:val="ListParagraph"/>
            </w:pPr>
          </w:p>
          <w:p w14:paraId="6AA6269B" w14:textId="77777777" w:rsidR="008209D3" w:rsidRDefault="003A2D09" w:rsidP="003A2D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The current position of the Income and Expenditure Account for the current financial year to date of a surplus of £148,651 compared to a surplus to date in July of £154,901</w:t>
            </w:r>
          </w:p>
          <w:p w14:paraId="0324037F" w14:textId="77777777" w:rsidR="008209D3" w:rsidRDefault="008209D3" w:rsidP="002E1CC6">
            <w:pPr>
              <w:pStyle w:val="ListParagraph"/>
            </w:pPr>
          </w:p>
          <w:p w14:paraId="17A6C3EE" w14:textId="77777777" w:rsidR="00F95C8B" w:rsidRDefault="003A2D09" w:rsidP="003A2D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lastRenderedPageBreak/>
              <w:t>The Section 151 officer commentary on the operating budget position and recommendation that a medium term financial strategy be developed</w:t>
            </w:r>
            <w:r w:rsidR="008209D3">
              <w:t xml:space="preserve"> alongside the strategic framework</w:t>
            </w:r>
            <w:r>
              <w:t xml:space="preserve">. </w:t>
            </w:r>
          </w:p>
        </w:tc>
      </w:tr>
    </w:tbl>
    <w:p w14:paraId="5787D793" w14:textId="77777777" w:rsidR="00A3358A" w:rsidRDefault="008B64FC" w:rsidP="00CF1133">
      <w:pPr>
        <w:spacing w:after="0" w:line="256" w:lineRule="auto"/>
        <w:ind w:left="0" w:firstLine="0"/>
      </w:pPr>
    </w:p>
    <w:p w14:paraId="11661139" w14:textId="77777777" w:rsidR="00A3358A" w:rsidRDefault="00FB0EAB" w:rsidP="00A3358A">
      <w:pPr>
        <w:rPr>
          <w:b/>
        </w:rPr>
      </w:pPr>
      <w:r>
        <w:rPr>
          <w:b/>
        </w:rPr>
        <w:t xml:space="preserve">Background and Advice </w:t>
      </w:r>
    </w:p>
    <w:p w14:paraId="13AF83FD" w14:textId="77777777" w:rsidR="00FA5110" w:rsidRDefault="008B64FC" w:rsidP="00FA5110">
      <w:pPr>
        <w:ind w:left="0" w:firstLine="0"/>
      </w:pPr>
    </w:p>
    <w:p w14:paraId="4F6730F0" w14:textId="77777777" w:rsidR="003A2D09" w:rsidRDefault="003A2D09" w:rsidP="003A2D09">
      <w:pPr>
        <w:jc w:val="both"/>
      </w:pPr>
      <w:r>
        <w:t>The Board are requested to note the main changes in this account since July:</w:t>
      </w:r>
    </w:p>
    <w:p w14:paraId="44CD5196" w14:textId="77777777" w:rsidR="003A2D09" w:rsidRDefault="003A2D09" w:rsidP="003A2D09">
      <w:pPr>
        <w:jc w:val="both"/>
      </w:pPr>
    </w:p>
    <w:p w14:paraId="13BFBEA3" w14:textId="77777777" w:rsidR="003A2D09" w:rsidRPr="00A36C72" w:rsidRDefault="003A2D09" w:rsidP="003A2D09">
      <w:pPr>
        <w:pStyle w:val="ListParagraph"/>
        <w:numPr>
          <w:ilvl w:val="0"/>
          <w:numId w:val="9"/>
        </w:numPr>
        <w:spacing w:after="160" w:line="259" w:lineRule="auto"/>
        <w:ind w:left="709" w:hanging="709"/>
        <w:jc w:val="both"/>
        <w:rPr>
          <w:b/>
        </w:rPr>
      </w:pPr>
      <w:r w:rsidRPr="00A36C72">
        <w:rPr>
          <w:b/>
        </w:rPr>
        <w:t xml:space="preserve">Income : </w:t>
      </w:r>
    </w:p>
    <w:p w14:paraId="3E013035" w14:textId="77777777" w:rsidR="003A2D09" w:rsidRDefault="003A2D09" w:rsidP="003A2D09">
      <w:pPr>
        <w:ind w:left="709" w:firstLine="0"/>
        <w:jc w:val="both"/>
      </w:pPr>
      <w:r>
        <w:t xml:space="preserve">Increased invoiced interest on growing places from £83,982 at July to £255,073  </w:t>
      </w:r>
    </w:p>
    <w:p w14:paraId="4EA3358C" w14:textId="23B52DCE" w:rsidR="003A2D09" w:rsidRDefault="003A2D09" w:rsidP="003A2D09">
      <w:pPr>
        <w:ind w:firstLine="720"/>
        <w:jc w:val="both"/>
      </w:pPr>
    </w:p>
    <w:p w14:paraId="78AB0130" w14:textId="535987F8" w:rsidR="002E1CC6" w:rsidRDefault="002E1CC6" w:rsidP="003A2D09">
      <w:pPr>
        <w:ind w:firstLine="720"/>
        <w:jc w:val="both"/>
      </w:pPr>
    </w:p>
    <w:p w14:paraId="2CC226E9" w14:textId="77777777" w:rsidR="002E1CC6" w:rsidRDefault="002E1CC6" w:rsidP="003A2D09">
      <w:pPr>
        <w:ind w:firstLine="720"/>
        <w:jc w:val="both"/>
      </w:pPr>
    </w:p>
    <w:p w14:paraId="664A22F5" w14:textId="77777777" w:rsidR="003A2D09" w:rsidRPr="002A6B7E" w:rsidRDefault="003A2D09" w:rsidP="003A2D09">
      <w:pPr>
        <w:ind w:left="567" w:hanging="567"/>
        <w:jc w:val="both"/>
        <w:rPr>
          <w:b/>
        </w:rPr>
      </w:pPr>
      <w:r>
        <w:rPr>
          <w:b/>
        </w:rPr>
        <w:t>2.0</w:t>
      </w:r>
      <w:r>
        <w:rPr>
          <w:b/>
        </w:rPr>
        <w:tab/>
      </w:r>
      <w:r>
        <w:rPr>
          <w:b/>
        </w:rPr>
        <w:tab/>
        <w:t>Expenditure</w:t>
      </w:r>
      <w:r w:rsidRPr="002A6B7E">
        <w:rPr>
          <w:b/>
        </w:rPr>
        <w:t>:</w:t>
      </w:r>
    </w:p>
    <w:p w14:paraId="452C0ECF" w14:textId="77777777" w:rsidR="003A2D09" w:rsidRPr="002A6B7E" w:rsidRDefault="003A2D09" w:rsidP="003A2D09">
      <w:pPr>
        <w:ind w:left="902" w:firstLine="178"/>
        <w:jc w:val="both"/>
        <w:rPr>
          <w:b/>
        </w:rPr>
      </w:pPr>
      <w:r w:rsidRPr="002A6B7E">
        <w:rPr>
          <w:b/>
        </w:rPr>
        <w:t>Salaries</w:t>
      </w:r>
    </w:p>
    <w:p w14:paraId="4640F410" w14:textId="77777777" w:rsidR="003A2D09" w:rsidRDefault="003A2D09" w:rsidP="003A2D09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Monthly salaries are in line with the approved budget and including</w:t>
      </w:r>
    </w:p>
    <w:p w14:paraId="44DFF3FC" w14:textId="77777777" w:rsidR="003A2D09" w:rsidRDefault="003A2D09" w:rsidP="003A2D09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Annual £10,000 contribution to the SAP post within the Skills budget paid this month.</w:t>
      </w:r>
    </w:p>
    <w:p w14:paraId="5E9FF325" w14:textId="77777777" w:rsidR="003A2D09" w:rsidRDefault="003A2D09" w:rsidP="003A2D09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 xml:space="preserve">No changes to forecast as a result of a further six month extension to the employment contract of two members of staff as the budget includes a full year provision for these posts. </w:t>
      </w:r>
    </w:p>
    <w:p w14:paraId="393FC229" w14:textId="77777777" w:rsidR="003A2D09" w:rsidRPr="002A6B7E" w:rsidRDefault="003A2D09" w:rsidP="003A2D09">
      <w:pPr>
        <w:ind w:left="360" w:firstLine="720"/>
        <w:jc w:val="both"/>
        <w:rPr>
          <w:b/>
        </w:rPr>
      </w:pPr>
      <w:r w:rsidRPr="002A6B7E">
        <w:rPr>
          <w:b/>
        </w:rPr>
        <w:t>External Appraisals</w:t>
      </w:r>
    </w:p>
    <w:p w14:paraId="5E087210" w14:textId="77777777" w:rsidR="003A2D09" w:rsidRDefault="003A2D09" w:rsidP="003A2D09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£6,000 paid on Growth Deal assurance work</w:t>
      </w:r>
    </w:p>
    <w:p w14:paraId="050CC17C" w14:textId="77777777" w:rsidR="003A2D09" w:rsidRPr="002A6B7E" w:rsidRDefault="003A2D09" w:rsidP="003A2D09">
      <w:pPr>
        <w:ind w:left="360" w:firstLine="720"/>
        <w:jc w:val="both"/>
        <w:rPr>
          <w:b/>
        </w:rPr>
      </w:pPr>
      <w:r w:rsidRPr="002A6B7E">
        <w:rPr>
          <w:b/>
        </w:rPr>
        <w:t>Projects</w:t>
      </w:r>
    </w:p>
    <w:p w14:paraId="55675437" w14:textId="77777777" w:rsidR="003A2D09" w:rsidRDefault="003A2D09" w:rsidP="003A2D09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£50,000 LEP contribution to Pride of place support in respect of 2019/20 Board commitment</w:t>
      </w:r>
    </w:p>
    <w:p w14:paraId="78169539" w14:textId="77777777" w:rsidR="003A2D09" w:rsidRDefault="003A2D09" w:rsidP="003A2D09">
      <w:pPr>
        <w:ind w:left="720" w:firstLine="360"/>
        <w:jc w:val="both"/>
      </w:pPr>
      <w:r w:rsidRPr="002A6B7E">
        <w:rPr>
          <w:b/>
        </w:rPr>
        <w:lastRenderedPageBreak/>
        <w:t xml:space="preserve">Marketing </w:t>
      </w:r>
    </w:p>
    <w:p w14:paraId="1567A458" w14:textId="77777777" w:rsidR="003A2D09" w:rsidRDefault="003A2D09" w:rsidP="003A2D09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2 payments to North West Insider £1,500 and £8,445 in respect of an Enterprise Zone event to be held in October of this year and a contribution to Lancashire Day</w:t>
      </w:r>
    </w:p>
    <w:p w14:paraId="44188887" w14:textId="77777777" w:rsidR="003A2D09" w:rsidRPr="002A6B7E" w:rsidRDefault="003A2D09" w:rsidP="003A2D09">
      <w:pPr>
        <w:jc w:val="both"/>
        <w:rPr>
          <w:b/>
        </w:rPr>
      </w:pPr>
      <w:r>
        <w:tab/>
        <w:t xml:space="preserve">       </w:t>
      </w:r>
      <w:r w:rsidRPr="002A6B7E">
        <w:rPr>
          <w:b/>
        </w:rPr>
        <w:t>Legal</w:t>
      </w:r>
    </w:p>
    <w:p w14:paraId="7C3A8499" w14:textId="77777777" w:rsidR="003A2D09" w:rsidRDefault="003A2D09" w:rsidP="003A2D09">
      <w:pPr>
        <w:pStyle w:val="ListParagraph"/>
        <w:numPr>
          <w:ilvl w:val="0"/>
          <w:numId w:val="7"/>
        </w:numPr>
        <w:spacing w:after="120" w:line="259" w:lineRule="auto"/>
        <w:jc w:val="both"/>
      </w:pPr>
      <w:r>
        <w:t xml:space="preserve">£2,478 payment for state aid advice +  </w:t>
      </w:r>
    </w:p>
    <w:p w14:paraId="6BFDCE73" w14:textId="77777777" w:rsidR="003A2D09" w:rsidRDefault="003A2D09" w:rsidP="003A2D09">
      <w:pPr>
        <w:pStyle w:val="ListParagraph"/>
        <w:numPr>
          <w:ilvl w:val="0"/>
          <w:numId w:val="7"/>
        </w:numPr>
        <w:spacing w:after="120" w:line="259" w:lineRule="auto"/>
        <w:jc w:val="both"/>
      </w:pPr>
      <w:r>
        <w:t>£15,647 for retained legal advice to July 20</w:t>
      </w:r>
    </w:p>
    <w:p w14:paraId="02E60F23" w14:textId="77777777" w:rsidR="003A2D09" w:rsidRPr="002A6B7E" w:rsidRDefault="003A2D09" w:rsidP="003A2D09">
      <w:pPr>
        <w:jc w:val="both"/>
        <w:rPr>
          <w:b/>
        </w:rPr>
      </w:pPr>
      <w:r>
        <w:tab/>
        <w:t xml:space="preserve">      </w:t>
      </w:r>
      <w:r w:rsidRPr="002A6B7E">
        <w:rPr>
          <w:b/>
        </w:rPr>
        <w:t>Consultancy</w:t>
      </w:r>
    </w:p>
    <w:p w14:paraId="4EDF60D8" w14:textId="77777777" w:rsidR="003A2D09" w:rsidRDefault="003A2D09" w:rsidP="003A2D09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Temporary consultancy support for Strategy and Policy work includes July and August payments. Forecast increase of £51,000 in consultancy costs, as a consequence of contract extension to the end of December 2020 to be taken from reserves.</w:t>
      </w:r>
    </w:p>
    <w:p w14:paraId="6A9321F9" w14:textId="77777777" w:rsidR="003A2D09" w:rsidRDefault="003A2D09" w:rsidP="003A2D09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Consultancy and Professional support to the Aerospace Task Force, total expenditure of £10,450.</w:t>
      </w:r>
    </w:p>
    <w:p w14:paraId="298B46B1" w14:textId="77777777" w:rsidR="003A2D09" w:rsidRDefault="003A2D09" w:rsidP="003A2D09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Consultancy and professional support to the LEP Reviews of £8,000.</w:t>
      </w:r>
    </w:p>
    <w:p w14:paraId="5F23CA18" w14:textId="77777777" w:rsidR="003A2D09" w:rsidRPr="00A36C72" w:rsidRDefault="003A2D09" w:rsidP="003A2D09">
      <w:pPr>
        <w:jc w:val="both"/>
        <w:rPr>
          <w:b/>
        </w:rPr>
      </w:pPr>
      <w:r>
        <w:rPr>
          <w:b/>
        </w:rPr>
        <w:t>3.0</w:t>
      </w:r>
      <w:r>
        <w:rPr>
          <w:b/>
        </w:rPr>
        <w:tab/>
      </w:r>
      <w:r w:rsidRPr="00A36C72">
        <w:rPr>
          <w:b/>
        </w:rPr>
        <w:t>Forecast</w:t>
      </w:r>
    </w:p>
    <w:p w14:paraId="7B0CD3BB" w14:textId="77777777" w:rsidR="003A2D09" w:rsidRDefault="003A2D09" w:rsidP="003A2D09">
      <w:pPr>
        <w:ind w:firstLine="0"/>
        <w:jc w:val="both"/>
      </w:pPr>
      <w:r>
        <w:t xml:space="preserve">The forecast for the year has moved from a forecast net expenditure of £1,731,424 at July to a forecast net expenditure of £1,686,666. This represents £44,758 less money drawn now planned to be drawn from reserves and is made up of the following changes: </w:t>
      </w:r>
    </w:p>
    <w:p w14:paraId="3623A50B" w14:textId="77777777" w:rsidR="003A2D09" w:rsidRDefault="003A2D09" w:rsidP="003A2D09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Increased income based on actual growing places interest  £171,091</w:t>
      </w:r>
    </w:p>
    <w:p w14:paraId="107F776F" w14:textId="77777777" w:rsidR="003A2D09" w:rsidRDefault="003A2D09" w:rsidP="003A2D09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Changes to temporary consultancy support (£126,333)   </w:t>
      </w:r>
    </w:p>
    <w:p w14:paraId="0515880A" w14:textId="77777777" w:rsidR="003A2D09" w:rsidRDefault="003A2D09" w:rsidP="003A2D09">
      <w:pPr>
        <w:spacing w:after="160" w:line="259" w:lineRule="auto"/>
        <w:ind w:firstLine="0"/>
        <w:jc w:val="both"/>
      </w:pPr>
      <w:r>
        <w:t xml:space="preserve">The forecast reserve position at March 2021 will be reserves of £786,343. </w:t>
      </w:r>
    </w:p>
    <w:p w14:paraId="26108947" w14:textId="171115F9" w:rsidR="003A2D09" w:rsidRDefault="003A2D09" w:rsidP="003A2D09">
      <w:pPr>
        <w:ind w:firstLine="0"/>
        <w:jc w:val="both"/>
      </w:pPr>
      <w:r>
        <w:lastRenderedPageBreak/>
        <w:t>These forecasts both include provision to expend the general project funding budget of £510,000 and the £510,000 commitment to support Eden of the North that was included in the 19-20 budget and carried forward when not spen</w:t>
      </w:r>
      <w:r w:rsidR="00881687">
        <w:t>t</w:t>
      </w:r>
      <w:r>
        <w:t xml:space="preserve"> in that year.  If both these budget allocations remain unspent at March 2021 the forecast net expenditure will reduce to £676,666 and forecast reserves increase to £1,796,343</w:t>
      </w:r>
    </w:p>
    <w:p w14:paraId="3BCF8FE2" w14:textId="2540EE67" w:rsidR="003A2D09" w:rsidRDefault="003A2D09" w:rsidP="00024531">
      <w:pPr>
        <w:ind w:left="0" w:firstLine="0"/>
        <w:jc w:val="both"/>
      </w:pPr>
    </w:p>
    <w:p w14:paraId="24CF92E4" w14:textId="77777777" w:rsidR="003A2D09" w:rsidRPr="003A2D09" w:rsidRDefault="003A2D09" w:rsidP="003A2D09">
      <w:pPr>
        <w:jc w:val="both"/>
        <w:rPr>
          <w:b/>
        </w:rPr>
      </w:pPr>
      <w:r w:rsidRPr="003A2D09">
        <w:rPr>
          <w:b/>
        </w:rPr>
        <w:t xml:space="preserve">4.0 </w:t>
      </w:r>
      <w:r w:rsidRPr="003A2D09">
        <w:rPr>
          <w:b/>
        </w:rPr>
        <w:tab/>
        <w:t>Section 151 Commentary</w:t>
      </w:r>
    </w:p>
    <w:p w14:paraId="4A42FABC" w14:textId="77777777" w:rsidR="003A2D09" w:rsidRDefault="003A2D09" w:rsidP="003A2D09">
      <w:pPr>
        <w:ind w:firstLine="0"/>
        <w:jc w:val="both"/>
        <w:rPr>
          <w:color w:val="auto"/>
        </w:rPr>
      </w:pPr>
      <w:r w:rsidRPr="003A2D09">
        <w:rPr>
          <w:color w:val="auto"/>
        </w:rPr>
        <w:t>The LEP has healthy reserves which are being used to support its current activity. Annual operating costs currently make up the significant p</w:t>
      </w:r>
      <w:r>
        <w:rPr>
          <w:color w:val="auto"/>
        </w:rPr>
        <w:t xml:space="preserve">roportion of the annual income </w:t>
      </w:r>
      <w:r w:rsidRPr="003A2D09">
        <w:rPr>
          <w:color w:val="auto"/>
        </w:rPr>
        <w:t>which will constrain investment decisions, particularly in respect of ad hoc projects and response to HMG initiatives. Directors will want to prioritise their revenue spend to ensure they retain a sustainable operating model to deliver their strategic ambitions.</w:t>
      </w:r>
    </w:p>
    <w:p w14:paraId="0699EA33" w14:textId="77777777" w:rsidR="003A2D09" w:rsidRDefault="003A2D09" w:rsidP="003A2D09">
      <w:pPr>
        <w:jc w:val="both"/>
        <w:rPr>
          <w:rFonts w:ascii="Calibri" w:eastAsiaTheme="minorHAnsi" w:hAnsi="Calibri" w:cs="Calibri"/>
          <w:color w:val="auto"/>
          <w:sz w:val="22"/>
          <w:szCs w:val="22"/>
        </w:rPr>
      </w:pPr>
    </w:p>
    <w:p w14:paraId="59BA4938" w14:textId="77777777" w:rsidR="008209D3" w:rsidRDefault="003A2D09" w:rsidP="003A2D09">
      <w:pPr>
        <w:ind w:firstLine="0"/>
        <w:jc w:val="both"/>
        <w:rPr>
          <w:color w:val="auto"/>
        </w:rPr>
      </w:pPr>
      <w:r w:rsidRPr="003A2D09">
        <w:rPr>
          <w:color w:val="auto"/>
        </w:rPr>
        <w:t xml:space="preserve">The use of reserves will need to be managed to ensure that sufficiency is retained to cover liabilities accruing to the LEP as a more independent agency. These will include contractual commitments and pensions. </w:t>
      </w:r>
      <w:r w:rsidR="008209D3">
        <w:rPr>
          <w:color w:val="auto"/>
        </w:rPr>
        <w:t>Officers are working to construct the LEP balance sheet to facilitate decision making.</w:t>
      </w:r>
    </w:p>
    <w:p w14:paraId="5A97C701" w14:textId="77777777" w:rsidR="008209D3" w:rsidRDefault="008209D3" w:rsidP="003A2D09">
      <w:pPr>
        <w:ind w:firstLine="0"/>
        <w:jc w:val="both"/>
        <w:rPr>
          <w:color w:val="auto"/>
        </w:rPr>
      </w:pPr>
    </w:p>
    <w:p w14:paraId="0BBA4D27" w14:textId="77777777" w:rsidR="003A2D09" w:rsidRPr="003A2D09" w:rsidRDefault="003A2D09" w:rsidP="003A2D09">
      <w:pPr>
        <w:ind w:firstLine="0"/>
        <w:jc w:val="both"/>
        <w:rPr>
          <w:rFonts w:ascii="Calibri" w:eastAsiaTheme="minorHAnsi" w:hAnsi="Calibri" w:cs="Calibri"/>
          <w:color w:val="auto"/>
          <w:sz w:val="22"/>
          <w:szCs w:val="22"/>
        </w:rPr>
      </w:pPr>
      <w:r w:rsidRPr="003A2D09">
        <w:rPr>
          <w:color w:val="auto"/>
        </w:rPr>
        <w:t>I would strongly recommend that a medium term financial strategy be developed to sit alongside the emerging strategic framework when it co</w:t>
      </w:r>
      <w:r>
        <w:rPr>
          <w:color w:val="auto"/>
        </w:rPr>
        <w:t>mes to the Board for approval.</w:t>
      </w:r>
      <w:r w:rsidRPr="003A2D09">
        <w:rPr>
          <w:color w:val="auto"/>
        </w:rPr>
        <w:t> </w:t>
      </w:r>
    </w:p>
    <w:p w14:paraId="052E9834" w14:textId="77777777" w:rsidR="00DA2876" w:rsidRDefault="008B64FC" w:rsidP="003A2D09">
      <w:pPr>
        <w:jc w:val="both"/>
      </w:pPr>
    </w:p>
    <w:p w14:paraId="6791BDDB" w14:textId="74935E8C" w:rsidR="00FA5110" w:rsidRPr="00A36C72" w:rsidRDefault="00FB0EAB" w:rsidP="003A2D09">
      <w:pPr>
        <w:jc w:val="both"/>
        <w:rPr>
          <w:b/>
        </w:rPr>
      </w:pPr>
      <w:r>
        <w:rPr>
          <w:b/>
        </w:rPr>
        <w:t>4.0</w:t>
      </w:r>
      <w:r>
        <w:rPr>
          <w:b/>
        </w:rPr>
        <w:tab/>
      </w:r>
      <w:r w:rsidR="003A2D09">
        <w:rPr>
          <w:b/>
        </w:rPr>
        <w:t xml:space="preserve">Operating Budget </w:t>
      </w:r>
    </w:p>
    <w:p w14:paraId="5D2D78E3" w14:textId="6A32603D" w:rsidR="00FA5110" w:rsidRDefault="00FB0EAB" w:rsidP="003A2D09">
      <w:pPr>
        <w:ind w:firstLine="0"/>
        <w:jc w:val="both"/>
      </w:pPr>
      <w:r>
        <w:t>The</w:t>
      </w:r>
      <w:r w:rsidR="003A2D09">
        <w:t xml:space="preserve"> Operating Budget </w:t>
      </w:r>
      <w:r w:rsidR="008209D3">
        <w:t>is</w:t>
      </w:r>
      <w:r w:rsidR="003A2D09">
        <w:t xml:space="preserve"> attached at Appendi</w:t>
      </w:r>
      <w:r w:rsidR="008209D3">
        <w:t>x</w:t>
      </w:r>
      <w:r w:rsidR="00024531">
        <w:t xml:space="preserve"> 'A'.</w:t>
      </w:r>
    </w:p>
    <w:p w14:paraId="34837FBF" w14:textId="77777777" w:rsidR="00983306" w:rsidRDefault="008B64FC" w:rsidP="00FB0EAB">
      <w:pPr>
        <w:ind w:left="0" w:firstLine="0"/>
      </w:pPr>
    </w:p>
    <w:p w14:paraId="33C88FB7" w14:textId="77777777" w:rsidR="005D0C06" w:rsidRPr="00AB6785" w:rsidRDefault="00FB0EAB" w:rsidP="0001762C">
      <w:pPr>
        <w:pStyle w:val="Heading5"/>
        <w:ind w:left="0" w:firstLine="0"/>
        <w:rPr>
          <w:rFonts w:ascii="Arial" w:hAnsi="Arial"/>
          <w:b/>
          <w:color w:val="auto"/>
        </w:rPr>
      </w:pPr>
      <w:r w:rsidRPr="00AB6785">
        <w:rPr>
          <w:rFonts w:ascii="Arial" w:hAnsi="Arial"/>
          <w:b/>
          <w:color w:val="auto"/>
        </w:rPr>
        <w:t>List of Background Papers</w:t>
      </w:r>
    </w:p>
    <w:p w14:paraId="303E2457" w14:textId="77777777" w:rsidR="005D0C06" w:rsidRDefault="008B64FC" w:rsidP="005D0C0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61B8B" w14:paraId="4F858953" w14:textId="77777777" w:rsidTr="00434CCE">
        <w:tc>
          <w:tcPr>
            <w:tcW w:w="3510" w:type="dxa"/>
          </w:tcPr>
          <w:p w14:paraId="5B04F4AC" w14:textId="77777777" w:rsidR="005D0C06" w:rsidRPr="00AB6785" w:rsidRDefault="00FB0EAB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lastRenderedPageBreak/>
              <w:t>Paper</w:t>
            </w:r>
          </w:p>
        </w:tc>
        <w:tc>
          <w:tcPr>
            <w:tcW w:w="2492" w:type="dxa"/>
          </w:tcPr>
          <w:p w14:paraId="682B46DE" w14:textId="77777777" w:rsidR="005D0C06" w:rsidRPr="00AB6785" w:rsidRDefault="00FB0EAB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3178" w:type="dxa"/>
          </w:tcPr>
          <w:p w14:paraId="5F4AB16D" w14:textId="77777777" w:rsidR="005D0C06" w:rsidRPr="00AB6785" w:rsidRDefault="00FB0EAB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Contact/Tel</w:t>
            </w:r>
          </w:p>
        </w:tc>
      </w:tr>
      <w:tr w:rsidR="00261B8B" w14:paraId="7D1849E5" w14:textId="77777777" w:rsidTr="00434CCE">
        <w:tc>
          <w:tcPr>
            <w:tcW w:w="3510" w:type="dxa"/>
          </w:tcPr>
          <w:p w14:paraId="50F2101D" w14:textId="77777777" w:rsidR="005D0C06" w:rsidRPr="00AB6785" w:rsidRDefault="008B64FC" w:rsidP="00434CCE">
            <w:pPr>
              <w:rPr>
                <w:color w:val="auto"/>
              </w:rPr>
            </w:pPr>
          </w:p>
          <w:p w14:paraId="71611601" w14:textId="77777777" w:rsidR="005D0C06" w:rsidRDefault="00FB0EAB" w:rsidP="00434CCE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14:paraId="34960CAA" w14:textId="77777777" w:rsidR="005D0C06" w:rsidRPr="00AB6785" w:rsidRDefault="008B64FC" w:rsidP="00434CCE">
            <w:pPr>
              <w:rPr>
                <w:color w:val="auto"/>
              </w:rPr>
            </w:pPr>
          </w:p>
        </w:tc>
        <w:tc>
          <w:tcPr>
            <w:tcW w:w="2492" w:type="dxa"/>
          </w:tcPr>
          <w:p w14:paraId="7B70A999" w14:textId="77777777" w:rsidR="005D0C06" w:rsidRPr="00AB6785" w:rsidRDefault="008B64FC" w:rsidP="00434CCE">
            <w:pPr>
              <w:rPr>
                <w:color w:val="auto"/>
              </w:rPr>
            </w:pPr>
          </w:p>
        </w:tc>
        <w:tc>
          <w:tcPr>
            <w:tcW w:w="3178" w:type="dxa"/>
          </w:tcPr>
          <w:p w14:paraId="2C275C9A" w14:textId="77777777" w:rsidR="005D0C06" w:rsidRPr="00AB6785" w:rsidRDefault="008B64FC" w:rsidP="00434CCE">
            <w:pPr>
              <w:rPr>
                <w:color w:val="auto"/>
              </w:rPr>
            </w:pPr>
          </w:p>
        </w:tc>
      </w:tr>
      <w:tr w:rsidR="00261B8B" w14:paraId="1DA98ABE" w14:textId="77777777" w:rsidTr="00434CCE">
        <w:trPr>
          <w:cantSplit/>
        </w:trPr>
        <w:tc>
          <w:tcPr>
            <w:tcW w:w="9180" w:type="dxa"/>
            <w:gridSpan w:val="3"/>
          </w:tcPr>
          <w:p w14:paraId="27D7E11C" w14:textId="77777777" w:rsidR="005D0C06" w:rsidRDefault="008B64FC" w:rsidP="00434CCE"/>
          <w:p w14:paraId="1FE3C006" w14:textId="77777777" w:rsidR="005D0C06" w:rsidRDefault="00FB0EAB" w:rsidP="00434CCE">
            <w:r>
              <w:t xml:space="preserve">Reason for inclusion in Part II, if appropriate </w:t>
            </w:r>
          </w:p>
          <w:p w14:paraId="7F4A5947" w14:textId="77777777" w:rsidR="005D0C06" w:rsidRDefault="008B64FC" w:rsidP="00434CCE"/>
          <w:p w14:paraId="624FF459" w14:textId="77777777" w:rsidR="005D0C06" w:rsidRPr="00F95C8B" w:rsidRDefault="00FB0EAB" w:rsidP="00434CCE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305DE867" w14:textId="77777777" w:rsidR="005D0C06" w:rsidRDefault="008B64FC" w:rsidP="00434CCE">
            <w:pPr>
              <w:jc w:val="both"/>
            </w:pPr>
          </w:p>
        </w:tc>
      </w:tr>
    </w:tbl>
    <w:p w14:paraId="0C3C4DE7" w14:textId="77777777" w:rsidR="005D0C06" w:rsidRDefault="008B64FC"/>
    <w:sectPr w:rsidR="005D0C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3FC9" w14:textId="77777777" w:rsidR="00E85986" w:rsidRDefault="00FB0EAB">
      <w:pPr>
        <w:spacing w:after="0" w:line="240" w:lineRule="auto"/>
      </w:pPr>
      <w:r>
        <w:separator/>
      </w:r>
    </w:p>
  </w:endnote>
  <w:endnote w:type="continuationSeparator" w:id="0">
    <w:p w14:paraId="736C8E72" w14:textId="77777777" w:rsidR="00E85986" w:rsidRDefault="00FB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35BF" w14:textId="77777777" w:rsidR="00E85986" w:rsidRDefault="00FB0EAB">
      <w:pPr>
        <w:spacing w:after="0" w:line="240" w:lineRule="auto"/>
      </w:pPr>
      <w:r>
        <w:separator/>
      </w:r>
    </w:p>
  </w:footnote>
  <w:footnote w:type="continuationSeparator" w:id="0">
    <w:p w14:paraId="6C929FA9" w14:textId="77777777" w:rsidR="00E85986" w:rsidRDefault="00FB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74A2" w14:textId="77777777" w:rsidR="00CF1133" w:rsidRDefault="00FB0E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B66A1" wp14:editId="439CF273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047382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4DB"/>
    <w:multiLevelType w:val="hybridMultilevel"/>
    <w:tmpl w:val="97C85A8E"/>
    <w:lvl w:ilvl="0" w:tplc="D6BCA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8ACC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E266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4A24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4860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3AD9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3621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23D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2CBD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5324A91"/>
    <w:multiLevelType w:val="hybridMultilevel"/>
    <w:tmpl w:val="666CC31C"/>
    <w:lvl w:ilvl="0" w:tplc="AC721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EA8A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704D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08BA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AADF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58EE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6C20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7AB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462F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F17C1"/>
    <w:multiLevelType w:val="hybridMultilevel"/>
    <w:tmpl w:val="71428CA0"/>
    <w:lvl w:ilvl="0" w:tplc="5D82A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E802B7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B8E5BC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054000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2E6F5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425CD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5EABD5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E3AAB8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EC0FC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2473D4"/>
    <w:multiLevelType w:val="hybridMultilevel"/>
    <w:tmpl w:val="0BBA2C0C"/>
    <w:lvl w:ilvl="0" w:tplc="29A859EA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108FDC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A2A40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BFA5EE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6764B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22EC17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FB72F016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2B8A45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70A68D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49713758"/>
    <w:multiLevelType w:val="hybridMultilevel"/>
    <w:tmpl w:val="524CA660"/>
    <w:lvl w:ilvl="0" w:tplc="E6944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848C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A084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EAB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400B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0CF6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FA91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1E2B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7A3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7" w15:restartNumberingAfterBreak="0">
    <w:nsid w:val="50B02F7D"/>
    <w:multiLevelType w:val="hybridMultilevel"/>
    <w:tmpl w:val="07768868"/>
    <w:lvl w:ilvl="0" w:tplc="FADC6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9E51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A26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AC1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806B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C854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0452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8400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AC72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236CE"/>
    <w:multiLevelType w:val="multilevel"/>
    <w:tmpl w:val="5392586E"/>
    <w:lvl w:ilvl="0">
      <w:start w:val="1"/>
      <w:numFmt w:val="decimal"/>
      <w:lvlText w:val="%1.0"/>
      <w:lvlJc w:val="left"/>
      <w:pPr>
        <w:ind w:left="9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2" w:hanging="1800"/>
      </w:pPr>
      <w:rPr>
        <w:rFonts w:hint="default"/>
      </w:rPr>
    </w:lvl>
  </w:abstractNum>
  <w:abstractNum w:abstractNumId="9" w15:restartNumberingAfterBreak="0">
    <w:nsid w:val="550C7F66"/>
    <w:multiLevelType w:val="hybridMultilevel"/>
    <w:tmpl w:val="B9068CB0"/>
    <w:lvl w:ilvl="0" w:tplc="B0CC3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8B"/>
    <w:rsid w:val="00024531"/>
    <w:rsid w:val="00261B8B"/>
    <w:rsid w:val="002E1CC6"/>
    <w:rsid w:val="003A2D09"/>
    <w:rsid w:val="0054418C"/>
    <w:rsid w:val="008209D3"/>
    <w:rsid w:val="00873929"/>
    <w:rsid w:val="00881687"/>
    <w:rsid w:val="008B64FC"/>
    <w:rsid w:val="00AD1608"/>
    <w:rsid w:val="00C22833"/>
    <w:rsid w:val="00E85986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52C0"/>
  <w15:docId w15:val="{51AA3EDF-6697-4F17-98F3-2E45612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4A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D3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D3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4676-3BD1-4CA0-B403-F53FF66D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Molloy, Kathryn</dc:creator>
  <cp:lastModifiedBy>Milroy, Andy</cp:lastModifiedBy>
  <cp:revision>3</cp:revision>
  <dcterms:created xsi:type="dcterms:W3CDTF">2020-09-25T08:17:00Z</dcterms:created>
  <dcterms:modified xsi:type="dcterms:W3CDTF">2020-09-25T08:19:00Z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LEP Board Financial Update - September 2020</vt:lpwstr>
  </property>
  <property fmtid="{D5CDD505-2E9C-101B-9397-08002B2CF9AE}" pid="3" name="LeadOfficer">
    <vt:lpwstr>Sarah Kemp</vt:lpwstr>
  </property>
  <property fmtid="{D5CDD505-2E9C-101B-9397-08002B2CF9AE}" pid="4" name="LeadOfficerEmail">
    <vt:lpwstr>Sarah.Kemp@lancashirelep.co.uk</vt:lpwstr>
  </property>
  <property fmtid="{D5CDD505-2E9C-101B-9397-08002B2CF9AE}" pid="5" name="LeadOfficerTel">
    <vt:lpwstr>Tel: 01772 531885</vt:lpwstr>
  </property>
  <property fmtid="{D5CDD505-2E9C-101B-9397-08002B2CF9AE}" pid="6" name="MeetingDate">
    <vt:lpwstr>Wednesday, 30 September 2020</vt:lpwstr>
  </property>
</Properties>
</file>